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113" w:line="246" w:lineRule="auto"/>
        <w:ind w:left="2170" w:right="2174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 E G B Í Z Á S I   S Z E R Z Ő D ÉS egészségügyi tevékenység végzéséről </w:t>
      </w:r>
      <w:r w:rsidDel="00000000" w:rsidR="00000000" w:rsidRPr="00000000">
        <w:rPr>
          <w:sz w:val="24"/>
          <w:szCs w:val="24"/>
          <w:rtl w:val="0"/>
        </w:rPr>
        <w:t xml:space="preserve">(a továbbiakban: </w:t>
      </w:r>
      <w:r w:rsidDel="00000000" w:rsidR="00000000" w:rsidRPr="00000000">
        <w:rPr>
          <w:b w:val="1"/>
          <w:sz w:val="24"/>
          <w:szCs w:val="24"/>
          <w:rtl w:val="0"/>
        </w:rPr>
        <w:t xml:space="preserve">Szerződés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rPr/>
      </w:pPr>
      <w:r w:rsidDel="00000000" w:rsidR="00000000" w:rsidRPr="00000000">
        <w:rPr>
          <w:rtl w:val="0"/>
        </w:rPr>
        <w:t xml:space="preserve">amely létrejött</w:t>
      </w:r>
    </w:p>
    <w:p w:rsidR="00000000" w:rsidDel="00000000" w:rsidP="00000000" w:rsidRDefault="00000000" w:rsidRPr="00000000" w14:paraId="00000003">
      <w:pPr>
        <w:spacing w:after="0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West Health Kft</w:t>
      </w:r>
      <w:r w:rsidDel="00000000" w:rsidR="00000000" w:rsidRPr="00000000">
        <w:rPr>
          <w:rtl w:val="0"/>
        </w:rPr>
        <w:t xml:space="preserve">. (cégjegyzékszáma:</w:t>
      </w:r>
      <w:r w:rsidDel="00000000" w:rsidR="00000000" w:rsidRPr="00000000">
        <w:rPr>
          <w:b w:val="1"/>
          <w:rtl w:val="0"/>
        </w:rPr>
        <w:t xml:space="preserve"> 01-09-997158</w:t>
      </w:r>
      <w:r w:rsidDel="00000000" w:rsidR="00000000" w:rsidRPr="00000000">
        <w:rPr>
          <w:rtl w:val="0"/>
        </w:rPr>
        <w:t xml:space="preserve">; székhelye: </w:t>
      </w:r>
      <w:r w:rsidDel="00000000" w:rsidR="00000000" w:rsidRPr="00000000">
        <w:rPr>
          <w:b w:val="1"/>
          <w:rtl w:val="0"/>
        </w:rPr>
        <w:t xml:space="preserve">1015 Budapest, Ostrom utca 16.</w:t>
      </w:r>
      <w:r w:rsidDel="00000000" w:rsidR="00000000" w:rsidRPr="00000000">
        <w:rPr>
          <w:rtl w:val="0"/>
        </w:rPr>
        <w:t xml:space="preserve">, adószáma: </w:t>
      </w:r>
      <w:r w:rsidDel="00000000" w:rsidR="00000000" w:rsidRPr="00000000">
        <w:rPr>
          <w:b w:val="1"/>
          <w:rtl w:val="0"/>
        </w:rPr>
        <w:t xml:space="preserve">24237961-2-41</w:t>
      </w:r>
      <w:r w:rsidDel="00000000" w:rsidR="00000000" w:rsidRPr="00000000">
        <w:rPr>
          <w:rtl w:val="0"/>
        </w:rPr>
        <w:t xml:space="preserve">, képviseli: </w:t>
      </w:r>
      <w:r w:rsidDel="00000000" w:rsidR="00000000" w:rsidRPr="00000000">
        <w:rPr>
          <w:b w:val="1"/>
          <w:rtl w:val="0"/>
        </w:rPr>
        <w:t xml:space="preserve">Dr. Babai László</w:t>
      </w:r>
      <w:r w:rsidDel="00000000" w:rsidR="00000000" w:rsidRPr="00000000">
        <w:rPr>
          <w:rtl w:val="0"/>
        </w:rPr>
        <w:t xml:space="preserve">) mint egészségügyi tevékenységet végző (a továbbiakban: „</w:t>
      </w:r>
      <w:r w:rsidDel="00000000" w:rsidR="00000000" w:rsidRPr="00000000">
        <w:rPr>
          <w:b w:val="1"/>
          <w:rtl w:val="0"/>
        </w:rPr>
        <w:t xml:space="preserve">Megbízó</w:t>
      </w:r>
      <w:r w:rsidDel="00000000" w:rsidR="00000000" w:rsidRPr="00000000">
        <w:rPr>
          <w:rtl w:val="0"/>
        </w:rPr>
        <w:t xml:space="preserve">”),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másrészről </w:t>
      </w:r>
      <w:r w:rsidDel="00000000" w:rsidR="00000000" w:rsidRPr="00000000">
        <w:rPr>
          <w:b w:val="1"/>
          <w:rtl w:val="0"/>
        </w:rPr>
        <w:t xml:space="preserve">MEDSERV Egészségügyi Kft.</w:t>
      </w:r>
      <w:r w:rsidDel="00000000" w:rsidR="00000000" w:rsidRPr="00000000">
        <w:rPr>
          <w:rtl w:val="0"/>
        </w:rPr>
        <w:t xml:space="preserve"> (székhely: 1112 Budapest, Süveg u. 10/b., cégjegyzékszám: Cg.01-09-560510, ÁNTSZ engedély szám: 45-795/2004 és 11664/2007-I) mint egészségügyi tevékenységet végző (a továbbiakban: „</w:t>
      </w:r>
      <w:r w:rsidDel="00000000" w:rsidR="00000000" w:rsidRPr="00000000">
        <w:rPr>
          <w:b w:val="1"/>
          <w:rtl w:val="0"/>
        </w:rPr>
        <w:t xml:space="preserve">Megbízott</w:t>
      </w:r>
      <w:r w:rsidDel="00000000" w:rsidR="00000000" w:rsidRPr="00000000">
        <w:rPr>
          <w:rtl w:val="0"/>
        </w:rPr>
        <w:t xml:space="preserve">”),</w:t>
      </w:r>
    </w:p>
    <w:p w:rsidR="00000000" w:rsidDel="00000000" w:rsidP="00000000" w:rsidRDefault="00000000" w:rsidRPr="00000000" w14:paraId="00000006">
      <w:pPr>
        <w:spacing w:after="126" w:line="489.00000000000006" w:lineRule="auto"/>
        <w:ind w:left="-5" w:right="2343" w:firstLine="0"/>
        <w:rPr/>
      </w:pPr>
      <w:r w:rsidDel="00000000" w:rsidR="00000000" w:rsidRPr="00000000">
        <w:rPr>
          <w:rtl w:val="0"/>
        </w:rPr>
        <w:t xml:space="preserve">(a továbbiakban Megbízó és Megbízott együttesen: „</w:t>
      </w:r>
      <w:r w:rsidDel="00000000" w:rsidR="00000000" w:rsidRPr="00000000">
        <w:rPr>
          <w:b w:val="1"/>
          <w:rtl w:val="0"/>
        </w:rPr>
        <w:t xml:space="preserve">Felek</w:t>
      </w:r>
      <w:r w:rsidDel="00000000" w:rsidR="00000000" w:rsidRPr="00000000">
        <w:rPr>
          <w:rtl w:val="0"/>
        </w:rPr>
        <w:t xml:space="preserve">”) között, az alulírt helyen és időpontban, feltételek szerint: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389" w:line="366" w:lineRule="auto"/>
        <w:ind w:left="10" w:hanging="10"/>
        <w:rPr/>
      </w:pPr>
      <w:r w:rsidDel="00000000" w:rsidR="00000000" w:rsidRPr="00000000">
        <w:rPr>
          <w:rtl w:val="0"/>
        </w:rPr>
        <w:t xml:space="preserve">Megbízott, illetve alvállalkozói elvégzik a Megbízó által levett cervix cytologiai mintákvizsgálatát és értékelését orvosi felügyelet biztosításával, az ambulanciákon járóbeteg-ellátás formájában történt sebészi beavatkozások, valamint endoscopos, ill. műtéti beavatkozások következetében kivett humán sejtek, szövetek, ill. szervek kórszövettani vizsgálatát. A feladatokat a Megbízott laboratóriumában, vagy a Megbízottal szerződésben álló laboratóriumban kell végezni.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385" w:line="369" w:lineRule="auto"/>
        <w:ind w:left="10" w:hanging="10"/>
        <w:rPr/>
      </w:pPr>
      <w:r w:rsidDel="00000000" w:rsidR="00000000" w:rsidRPr="00000000">
        <w:rPr>
          <w:rtl w:val="0"/>
        </w:rPr>
        <w:t xml:space="preserve">A vizsgálatok mennyiségét az adott hóban kért (és folyamatosan elvégzett) vizsgálatokdarabszáma határozza meg, melyet Megbízott juttat el a számlájával számlaigazolásként, a tárgyhót követő hó 10. napjáig Megbízó gazdasági igazgatóságára. Szükség esetén a Megbízó kérésére részletes, név szerinti listát küld az adott hónapban kért és elvégzett vizsgálatokról.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5" w:lineRule="auto"/>
        <w:ind w:left="10" w:hanging="10"/>
        <w:rPr/>
      </w:pPr>
      <w:r w:rsidDel="00000000" w:rsidR="00000000" w:rsidRPr="00000000">
        <w:rPr>
          <w:rtl w:val="0"/>
        </w:rPr>
        <w:t xml:space="preserve">Megbízott vállalja az 1. pontban felsorolt feladatok elvégzését, kijelenti, hogy rendelkezika megfelelő szakképesítéssel és az ANTSZ. 6126-4/2011 sz. határozata alapján szükséges engedéllyel a vizsgálatok végzéséhez, valamint a vizsgálati eredmények értékeléséhez, tevékenységére felelősség biztosítást kötött.</w:t>
      </w:r>
    </w:p>
    <w:p w:rsidR="00000000" w:rsidDel="00000000" w:rsidP="00000000" w:rsidRDefault="00000000" w:rsidRPr="00000000" w14:paraId="0000000A">
      <w:pPr>
        <w:spacing w:after="106" w:lineRule="auto"/>
        <w:ind w:left="-5" w:firstLine="0"/>
        <w:rPr/>
      </w:pPr>
      <w:r w:rsidDel="00000000" w:rsidR="00000000" w:rsidRPr="00000000">
        <w:rPr>
          <w:rtl w:val="0"/>
        </w:rPr>
        <w:t xml:space="preserve">4.  </w:t>
      </w:r>
    </w:p>
    <w:p w:rsidR="00000000" w:rsidDel="00000000" w:rsidP="00000000" w:rsidRDefault="00000000" w:rsidRPr="00000000" w14:paraId="0000000B">
      <w:pPr>
        <w:spacing w:after="389" w:line="365" w:lineRule="auto"/>
        <w:ind w:left="-5" w:firstLine="0"/>
        <w:rPr/>
      </w:pPr>
      <w:r w:rsidDel="00000000" w:rsidR="00000000" w:rsidRPr="00000000">
        <w:rPr>
          <w:rtl w:val="0"/>
        </w:rPr>
        <w:t xml:space="preserve">a, Megbízó a Megbízott által végzett vizsgálatok ellenértékeként az 1. számú mellékletben a szerződés elválaszthatatlan részét képező árlista alapján végzi. Egy betegből származó több anyag több vizsgálatnak számít értelemszerűen, egy betegből származó további minták vizsgálata a mellékletben meghatározott áron történik .  A vizsgálatok  díja magában foglalja a mintavételi eszközök és megfelelő tárgylemezek és fixáló anyagok beszerzését, a vizsgálati anyag laboratóriumi feldolgozását, patológiai értékelését, valamint a lelet elkészítését, valamint az esetleges kiegészítő vizsgálatok költségeit is.</w:t>
      </w:r>
    </w:p>
    <w:p w:rsidR="00000000" w:rsidDel="00000000" w:rsidP="00000000" w:rsidRDefault="00000000" w:rsidRPr="00000000" w14:paraId="0000000C">
      <w:pPr>
        <w:spacing w:after="28" w:line="364" w:lineRule="auto"/>
        <w:ind w:left="-5" w:firstLine="0"/>
        <w:rPr/>
      </w:pPr>
      <w:r w:rsidDel="00000000" w:rsidR="00000000" w:rsidRPr="00000000">
        <w:rPr>
          <w:rtl w:val="0"/>
        </w:rPr>
        <w:t xml:space="preserve">b, A cervix citológiai vizsgálatok, amennyiben Megbízó a szerződés aláírásakor az átalánydíjas vizsgálatokat választja, minden általa küldött nőgyógyászati citológiai vizsgálatkérés esetén kiegészülnek az alábbiakkal: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5" w:line="367" w:lineRule="auto"/>
        <w:ind w:left="720" w:hanging="360"/>
        <w:rPr/>
      </w:pPr>
      <w:r w:rsidDel="00000000" w:rsidR="00000000" w:rsidRPr="00000000">
        <w:rPr>
          <w:rtl w:val="0"/>
        </w:rPr>
        <w:t xml:space="preserve">citológiai vizsgálat a Megbízott szakmai döntése alapján kiegészített CINtec Plus vizsgálattal (az esetek várhatóan -2-3%-a, a vizsgálat ASC, ASC-H, HSIL-CIN2 diagnózisú esetekben kerül elvégzésére)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line="370" w:lineRule="auto"/>
        <w:ind w:left="720" w:hanging="360"/>
        <w:rPr/>
      </w:pPr>
      <w:r w:rsidDel="00000000" w:rsidR="00000000" w:rsidRPr="00000000">
        <w:rPr>
          <w:rtl w:val="0"/>
        </w:rPr>
        <w:t xml:space="preserve">hrHPV és citológiai vizsgálat a Megbízott szakmai döntése alapján kiegészített CINtec Plus vizsgálattal (az esetek várhatóan 2-3%-a, a vizsgálat ASC, ASC-H,</w:t>
      </w:r>
    </w:p>
    <w:p w:rsidR="00000000" w:rsidDel="00000000" w:rsidP="00000000" w:rsidRDefault="00000000" w:rsidRPr="00000000" w14:paraId="0000000F">
      <w:pPr>
        <w:spacing w:after="496" w:lineRule="auto"/>
        <w:ind w:left="730" w:firstLine="0"/>
        <w:rPr/>
      </w:pPr>
      <w:r w:rsidDel="00000000" w:rsidR="00000000" w:rsidRPr="00000000">
        <w:rPr>
          <w:rtl w:val="0"/>
        </w:rPr>
        <w:t xml:space="preserve">HSIL-CIN2 diagnózisú esetekben kerül elvégzésére) </w:t>
      </w:r>
    </w:p>
    <w:p w:rsidR="00000000" w:rsidDel="00000000" w:rsidP="00000000" w:rsidRDefault="00000000" w:rsidRPr="00000000" w14:paraId="00000010">
      <w:pPr>
        <w:spacing w:after="389" w:line="365" w:lineRule="auto"/>
        <w:ind w:left="-5" w:firstLine="0"/>
        <w:rPr/>
      </w:pPr>
      <w:r w:rsidDel="00000000" w:rsidR="00000000" w:rsidRPr="00000000">
        <w:rPr>
          <w:rtl w:val="0"/>
        </w:rPr>
        <w:t xml:space="preserve">c, Korábban igazolt hrHPV pozitivitás és vagy pozitív citológiai lelet mellett kért, a vizsgálatkérő lapon feltüntetett CINtec Plus vizsgálatkérés esetén (amennyiben olyan kenet érkezik, mely endocervikális sejteket nem tartalmaz, akkor a vizsgálat nem végezhető el) a Megbízott jogosul a kenet levételének ismétlését kérni, nem kevesebb, mint három hét várakozási idővel az új kenetvétel előtt)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389" w:line="365" w:lineRule="auto"/>
        <w:ind w:left="10" w:hanging="10"/>
        <w:rPr/>
      </w:pPr>
      <w:r w:rsidDel="00000000" w:rsidR="00000000" w:rsidRPr="00000000">
        <w:rPr>
          <w:rtl w:val="0"/>
        </w:rPr>
        <w:t xml:space="preserve">Megbízó az 1. számú melléklet szerinti árral, a 2. pont szerinti mennyiséggel számított,adott hónapra esedékes díjat Megbízott számlája és teljesítésigazolása alapján, annak benyújtását követő 15 banki napon belül átutalással teljesíti Megbízott számláján feltüntetett számla számára.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4" w:lineRule="auto"/>
        <w:ind w:left="10" w:hanging="10"/>
        <w:rPr/>
      </w:pPr>
      <w:r w:rsidDel="00000000" w:rsidR="00000000" w:rsidRPr="00000000">
        <w:rPr>
          <w:rtl w:val="0"/>
        </w:rPr>
        <w:t xml:space="preserve">Jelen megállapodás határozatlan időre szól, a megállapodást módosítani közösmegegyezéssel, felmondani csak írásban, 1 havi felmondással lehet.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776" w:line="365" w:lineRule="auto"/>
        <w:ind w:left="10" w:hanging="10"/>
        <w:rPr/>
      </w:pPr>
      <w:r w:rsidDel="00000000" w:rsidR="00000000" w:rsidRPr="00000000">
        <w:rPr>
          <w:rtl w:val="0"/>
        </w:rPr>
        <w:t xml:space="preserve">A megbízott tudomásul vesz azt, hogy a jelen szerződés teljesítésével összefüggésben abirtokába kerülő orvosi titoknak minősülő adatok vonatkozásában a titoktartási kötelezettség terheli. A megbízott az orvosi titoknak minősülő adatokról harmadik illetéktelen személy részére semmilyen információt nem szolgáltat.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" w:line="365" w:lineRule="auto"/>
        <w:ind w:left="10" w:hanging="10"/>
        <w:rPr/>
      </w:pPr>
      <w:r w:rsidDel="00000000" w:rsidR="00000000" w:rsidRPr="00000000">
        <w:rPr>
          <w:rtl w:val="0"/>
        </w:rPr>
        <w:t xml:space="preserve">Jelen szerződés a 1. pont szerinti, a mellékletben részletezett feladatok ellátására érvényes.A jelen szerződésben nem szabályozott kérdésekben a PTK vonatkozó rendelkezései, valamint a tevékenység ellátásával kapcsolatos jogszabályok és szakmai előírások az érvényesek. </w:t>
      </w:r>
    </w:p>
    <w:p w:rsidR="00000000" w:rsidDel="00000000" w:rsidP="00000000" w:rsidRDefault="00000000" w:rsidRPr="00000000" w14:paraId="00000015">
      <w:pPr>
        <w:spacing w:after="493" w:lineRule="auto"/>
        <w:ind w:left="-5" w:firstLine="0"/>
        <w:rPr/>
      </w:pPr>
      <w:r w:rsidDel="00000000" w:rsidR="00000000" w:rsidRPr="00000000">
        <w:rPr>
          <w:rtl w:val="0"/>
        </w:rPr>
        <w:t xml:space="preserve">Felek a szerződést, mint akaratukkal mindenben megegyezőt jóváhagyólag aláírják.</w:t>
      </w:r>
    </w:p>
    <w:p w:rsidR="00000000" w:rsidDel="00000000" w:rsidP="00000000" w:rsidRDefault="00000000" w:rsidRPr="00000000" w14:paraId="00000016">
      <w:pPr>
        <w:spacing w:after="502" w:lineRule="auto"/>
        <w:ind w:left="-5" w:firstLine="0"/>
        <w:rPr/>
      </w:pPr>
      <w:r w:rsidDel="00000000" w:rsidR="00000000" w:rsidRPr="00000000">
        <w:rPr>
          <w:rtl w:val="0"/>
        </w:rPr>
        <w:t xml:space="preserve">Budapest, 2017. 10. 09.</w:t>
      </w:r>
    </w:p>
    <w:p w:rsidR="00000000" w:rsidDel="00000000" w:rsidP="00000000" w:rsidRDefault="00000000" w:rsidRPr="00000000" w14:paraId="00000017">
      <w:pPr>
        <w:spacing w:after="115" w:lineRule="auto"/>
        <w:ind w:left="-5" w:firstLine="0"/>
        <w:rPr/>
      </w:pPr>
      <w:r w:rsidDel="00000000" w:rsidR="00000000" w:rsidRPr="00000000">
        <w:rPr>
          <w:rtl w:val="0"/>
        </w:rPr>
        <w:t xml:space="preserve">Átalánydíjas (lásd 4.b pont) nőgyógyászati citológiai vizsgálatot </w:t>
      </w:r>
      <w:r w:rsidDel="00000000" w:rsidR="00000000" w:rsidRPr="00000000">
        <w:rPr>
          <w:b w:val="1"/>
          <w:rtl w:val="0"/>
        </w:rPr>
        <w:t xml:space="preserve">kérem, </w:t>
      </w:r>
      <w:r w:rsidDel="00000000" w:rsidR="00000000" w:rsidRPr="00000000">
        <w:rPr>
          <w:b w:val="1"/>
          <w:u w:val="single"/>
          <w:rtl w:val="0"/>
        </w:rPr>
        <w:t xml:space="preserve">nem kérem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892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A megfelelő szövegrész aláhúzandó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493" w:lineRule="auto"/>
        <w:ind w:left="-5" w:firstLine="0"/>
        <w:rPr/>
      </w:pPr>
      <w:r w:rsidDel="00000000" w:rsidR="00000000" w:rsidRPr="00000000">
        <w:rPr>
          <w:rtl w:val="0"/>
        </w:rPr>
        <w:t xml:space="preserve">………………………………..                                                       ……………………………</w:t>
      </w:r>
    </w:p>
    <w:p w:rsidR="00000000" w:rsidDel="00000000" w:rsidP="00000000" w:rsidRDefault="00000000" w:rsidRPr="00000000" w14:paraId="0000001A">
      <w:pPr>
        <w:ind w:left="718" w:firstLine="0"/>
        <w:rPr/>
      </w:pPr>
      <w:r w:rsidDel="00000000" w:rsidR="00000000" w:rsidRPr="00000000">
        <w:rPr>
          <w:rtl w:val="0"/>
        </w:rPr>
        <w:t xml:space="preserve">Dr. Babai László                                                                        Dr. Járay Balázs                ügyvezető </w:t>
        <w:tab/>
        <w:t xml:space="preserve">                                                                                                      ügyvezető </w:t>
      </w:r>
    </w:p>
    <w:p w:rsidR="00000000" w:rsidDel="00000000" w:rsidP="00000000" w:rsidRDefault="00000000" w:rsidRPr="00000000" w14:paraId="0000001B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" w:line="367" w:lineRule="auto"/>
        <w:ind w:left="-5" w:right="26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18" w:firstLine="0"/>
        <w:rPr/>
      </w:pPr>
      <w:r w:rsidDel="00000000" w:rsidR="00000000" w:rsidRPr="00000000">
        <w:rPr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23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265" w:lineRule="auto"/>
        <w:ind w:left="3213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számú melléklet</w:t>
      </w:r>
    </w:p>
    <w:p w:rsidR="00000000" w:rsidDel="00000000" w:rsidP="00000000" w:rsidRDefault="00000000" w:rsidRPr="00000000" w14:paraId="00000031">
      <w:pPr>
        <w:ind w:left="2853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 Medserv Kft. árlistája</w:t>
      </w:r>
      <w:r w:rsidDel="00000000" w:rsidR="00000000" w:rsidRPr="00000000">
        <w:rPr>
          <w:rtl w:val="0"/>
        </w:rPr>
      </w:r>
    </w:p>
    <w:tbl>
      <w:tblPr>
        <w:tblStyle w:val="Table1"/>
        <w:tblW w:w="8107.0" w:type="dxa"/>
        <w:jc w:val="left"/>
        <w:tblLayout w:type="fixed"/>
        <w:tblLook w:val="0400"/>
      </w:tblPr>
      <w:tblGrid>
        <w:gridCol w:w="7080"/>
        <w:gridCol w:w="1027"/>
        <w:tblGridChange w:id="0">
          <w:tblGrid>
            <w:gridCol w:w="7080"/>
            <w:gridCol w:w="102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Konvencionális méhnyak kenet vizsgálat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- 1250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Konvencionális méhnyak kenet vizsgálata fogyóanyag biztosítása nélkül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- 1150 Ft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Sürgősségi felár méhnyak kenet esetén, konvencionális, LBC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- 2500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Konvencionális méhnyak kenet átalánydíjjal (kb. 3% ) CINtec PLUS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- 1600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Liquid based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4000 Ft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Liquid based citológia+ CINtec PLUS átalány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- 4400 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 HPV DNS alapú teszt cobas 4800 rendszerrel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- 6000 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Konvencionális méhnyak kenet+ hr HPV teszt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- 7300  Ft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Konvencionális méhnyak kenet+ hr HPV teszt + CINtec PLUS átalány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- 7600 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Liguid based citológia+hr HPV+CINtec Plus átalány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- 10500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Alap szövettani vizsgálat (GI biopszia, naevus, kaparék, stb.)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- 5500  Ft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További lokalizációk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- 5500  Ft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Konizátum, nem malignus emlőelváltozás, stb. feldolgozása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- 22000 Ft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Nagy műtéti anyag feldolgozása (uterus, vastagbél, pajzsmirigy, stb.)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- 33000 Ft 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Extra nagy anyagok</w:t>
      </w:r>
    </w:p>
    <w:p w:rsidR="00000000" w:rsidDel="00000000" w:rsidP="00000000" w:rsidRDefault="00000000" w:rsidRPr="00000000" w14:paraId="0000004F">
      <w:pPr>
        <w:ind w:left="-5" w:firstLine="0"/>
        <w:rPr/>
      </w:pPr>
      <w:r w:rsidDel="00000000" w:rsidR="00000000" w:rsidRPr="00000000">
        <w:rPr>
          <w:rtl w:val="0"/>
        </w:rPr>
        <w:t xml:space="preserve">(Wertheim preparátum, emlőrák komplex vizsgálata, prostata sorozat biopszia) - 55000 Ft</w:t>
      </w:r>
    </w:p>
    <w:p w:rsidR="00000000" w:rsidDel="00000000" w:rsidP="00000000" w:rsidRDefault="00000000" w:rsidRPr="00000000" w14:paraId="00000050">
      <w:pPr>
        <w:tabs>
          <w:tab w:val="center" w:leader="none" w:pos="7566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Ultrahang vezérelt aspirációs citológiai biopszia és kenetvizsgálat </w:t>
        <w:tab/>
        <w:t xml:space="preserve"> - 20000 Ft</w:t>
      </w:r>
    </w:p>
    <w:p w:rsidR="00000000" w:rsidDel="00000000" w:rsidP="00000000" w:rsidRDefault="00000000" w:rsidRPr="00000000" w14:paraId="00000051">
      <w:pPr>
        <w:tabs>
          <w:tab w:val="center" w:leader="none" w:pos="7566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Ultrahang vezérelt vastagtű biopszia</w:t>
        <w:tab/>
        <w:t xml:space="preserve"> - 40000 Ft</w:t>
      </w:r>
    </w:p>
    <w:p w:rsidR="00000000" w:rsidDel="00000000" w:rsidP="00000000" w:rsidRDefault="00000000" w:rsidRPr="00000000" w14:paraId="00000052">
      <w:pPr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Beküldött core biopszia, emlőből prognosztikai markerek nélkül                            - 8000 Ft</w:t>
      </w:r>
    </w:p>
    <w:tbl>
      <w:tblPr>
        <w:tblStyle w:val="Table2"/>
        <w:tblW w:w="8051.0" w:type="dxa"/>
        <w:jc w:val="left"/>
        <w:tblLayout w:type="fixed"/>
        <w:tblLook w:val="0400"/>
      </w:tblPr>
      <w:tblGrid>
        <w:gridCol w:w="7080"/>
        <w:gridCol w:w="971"/>
        <w:tblGridChange w:id="0">
          <w:tblGrid>
            <w:gridCol w:w="7080"/>
            <w:gridCol w:w="971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Beküldött aspirációs kenet vizsgálata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- 2500  Ft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Patológiai másodvélemény citológiai mintán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- 10000 Ft</w:t>
            </w:r>
          </w:p>
        </w:tc>
      </w:tr>
    </w:tbl>
    <w:p w:rsidR="00000000" w:rsidDel="00000000" w:rsidP="00000000" w:rsidRDefault="00000000" w:rsidRPr="00000000" w14:paraId="00000057">
      <w:pPr>
        <w:tabs>
          <w:tab w:val="center" w:leader="none" w:pos="7566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Patológiai másodvélemény szövettani mintán</w:t>
        <w:tab/>
        <w:t xml:space="preserve"> - 20000 Ft</w:t>
      </w:r>
    </w:p>
    <w:p w:rsidR="00000000" w:rsidDel="00000000" w:rsidP="00000000" w:rsidRDefault="00000000" w:rsidRPr="00000000" w14:paraId="00000058">
      <w:pPr>
        <w:ind w:left="-5" w:firstLine="0"/>
        <w:rPr/>
      </w:pPr>
      <w:r w:rsidDel="00000000" w:rsidR="00000000" w:rsidRPr="00000000">
        <w:rPr>
          <w:rtl w:val="0"/>
        </w:rPr>
        <w:t xml:space="preserve">Sürgősségi felár: szövettani, citológiai, aspirációs citológiai vizsgálat 24-48 óra  - 10000 Ft </w:t>
      </w:r>
    </w:p>
    <w:p w:rsidR="00000000" w:rsidDel="00000000" w:rsidP="00000000" w:rsidRDefault="00000000" w:rsidRPr="00000000" w14:paraId="00000059">
      <w:pPr>
        <w:ind w:left="-5" w:firstLine="0"/>
        <w:rPr/>
      </w:pPr>
      <w:r w:rsidDel="00000000" w:rsidR="00000000" w:rsidRPr="00000000">
        <w:rPr>
          <w:rtl w:val="0"/>
        </w:rPr>
        <w:t xml:space="preserve">Immunhisztokémiai vizsgálat szövettan, citológiai mintán (prognosztikus)           - 3500Ft       </w:t>
      </w:r>
    </w:p>
    <w:tbl>
      <w:tblPr>
        <w:tblStyle w:val="Table3"/>
        <w:tblW w:w="7995.0" w:type="dxa"/>
        <w:jc w:val="left"/>
        <w:tblLayout w:type="fixed"/>
        <w:tblLook w:val="0400"/>
      </w:tblPr>
      <w:tblGrid>
        <w:gridCol w:w="5664"/>
        <w:gridCol w:w="2331"/>
        <w:tblGridChange w:id="0">
          <w:tblGrid>
            <w:gridCol w:w="5664"/>
            <w:gridCol w:w="2331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CINtec PLUS vizsgálat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- 9000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Radikális prosztatektómia vizsgálata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59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- 80000 Ft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Ritka esetekben (lymphoma, lágyrész tumorok, stb.)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59" w:lineRule="auto"/>
              <w:ind w:left="0" w:right="2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egyedi ajánlat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Idegen nyelvű lelet díja, az alapdíjon felül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59" w:lineRule="auto"/>
              <w:ind w:left="0" w:right="22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-5000Ft</w:t>
            </w:r>
          </w:p>
        </w:tc>
      </w:tr>
    </w:tbl>
    <w:p w:rsidR="00000000" w:rsidDel="00000000" w:rsidP="00000000" w:rsidRDefault="00000000" w:rsidRPr="00000000" w14:paraId="00000062">
      <w:pPr>
        <w:spacing w:after="76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760" w:lineRule="auto"/>
        <w:ind w:left="-5" w:firstLine="0"/>
        <w:rPr/>
      </w:pPr>
      <w:r w:rsidDel="00000000" w:rsidR="00000000" w:rsidRPr="00000000">
        <w:rPr>
          <w:rtl w:val="0"/>
        </w:rPr>
        <w:t xml:space="preserve">Amennyiben Megbízó olyan műtéti anyagot küld, amelyet az 1. számú melléklet nem tartalmaz, Megbízott  árajánlatot küld a vizsgálat elvégzésére, és annak elfogadása esetén gondoskodik az 1. számú melléklet kiegészítéséről.</w:t>
      </w:r>
    </w:p>
    <w:p w:rsidR="00000000" w:rsidDel="00000000" w:rsidP="00000000" w:rsidRDefault="00000000" w:rsidRPr="00000000" w14:paraId="00000064">
      <w:pPr>
        <w:spacing w:after="1030" w:lineRule="auto"/>
        <w:ind w:left="-5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Budapest, 2017. 10. 09.</w:t>
      </w:r>
    </w:p>
    <w:tbl>
      <w:tblPr>
        <w:tblStyle w:val="Table4"/>
        <w:tblW w:w="7044.0" w:type="dxa"/>
        <w:jc w:val="left"/>
        <w:tblLayout w:type="fixed"/>
        <w:tblLook w:val="0400"/>
      </w:tblPr>
      <w:tblGrid>
        <w:gridCol w:w="5664"/>
        <w:gridCol w:w="1380"/>
        <w:tblGridChange w:id="0">
          <w:tblGrid>
            <w:gridCol w:w="5664"/>
            <w:gridCol w:w="138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………….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…………….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megbízó   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megbízott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60" w:top="1418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213" w:hanging="360"/>
      </w:pPr>
      <w:rPr/>
    </w:lvl>
    <w:lvl w:ilvl="1">
      <w:start w:val="1"/>
      <w:numFmt w:val="lowerLetter"/>
      <w:lvlText w:val="%2."/>
      <w:lvlJc w:val="left"/>
      <w:pPr>
        <w:ind w:left="3933" w:hanging="360"/>
      </w:pPr>
      <w:rPr/>
    </w:lvl>
    <w:lvl w:ilvl="2">
      <w:start w:val="1"/>
      <w:numFmt w:val="lowerRoman"/>
      <w:lvlText w:val="%3."/>
      <w:lvlJc w:val="right"/>
      <w:pPr>
        <w:ind w:left="4653" w:hanging="180"/>
      </w:pPr>
      <w:rPr/>
    </w:lvl>
    <w:lvl w:ilvl="3">
      <w:start w:val="1"/>
      <w:numFmt w:val="decimal"/>
      <w:lvlText w:val="%4."/>
      <w:lvlJc w:val="left"/>
      <w:pPr>
        <w:ind w:left="5373" w:hanging="360"/>
      </w:pPr>
      <w:rPr/>
    </w:lvl>
    <w:lvl w:ilvl="4">
      <w:start w:val="1"/>
      <w:numFmt w:val="lowerLetter"/>
      <w:lvlText w:val="%5."/>
      <w:lvlJc w:val="left"/>
      <w:pPr>
        <w:ind w:left="6093" w:hanging="360"/>
      </w:pPr>
      <w:rPr/>
    </w:lvl>
    <w:lvl w:ilvl="5">
      <w:start w:val="1"/>
      <w:numFmt w:val="lowerRoman"/>
      <w:lvlText w:val="%6."/>
      <w:lvlJc w:val="right"/>
      <w:pPr>
        <w:ind w:left="6813" w:hanging="180"/>
      </w:pPr>
      <w:rPr/>
    </w:lvl>
    <w:lvl w:ilvl="6">
      <w:start w:val="1"/>
      <w:numFmt w:val="decimal"/>
      <w:lvlText w:val="%7."/>
      <w:lvlJc w:val="left"/>
      <w:pPr>
        <w:ind w:left="7533" w:hanging="360"/>
      </w:pPr>
      <w:rPr/>
    </w:lvl>
    <w:lvl w:ilvl="7">
      <w:start w:val="1"/>
      <w:numFmt w:val="lowerLetter"/>
      <w:lvlText w:val="%8."/>
      <w:lvlJc w:val="left"/>
      <w:pPr>
        <w:ind w:left="8253" w:hanging="360"/>
      </w:pPr>
      <w:rPr/>
    </w:lvl>
    <w:lvl w:ilvl="8">
      <w:start w:val="1"/>
      <w:numFmt w:val="lowerRoman"/>
      <w:lvlText w:val="%9."/>
      <w:lvlJc w:val="right"/>
      <w:pPr>
        <w:ind w:left="897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2880" w:hanging="28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040" w:hanging="50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5"/>
      <w:numFmt w:val="decimal"/>
      <w:lvlText w:val="%1."/>
      <w:lvlJc w:val="left"/>
      <w:pPr>
        <w:ind w:left="10" w:hanging="1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hu-HU"/>
      </w:rPr>
    </w:rPrDefault>
    <w:pPrDefault>
      <w:pPr>
        <w:spacing w:after="241" w:line="265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3" w:before="0" w:line="259" w:lineRule="auto"/>
      <w:ind w:left="0" w:right="3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